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臺南市古蹟歷史建築紀念建築聚落建築群史蹟及文化景觀審議會</w:t>
      </w:r>
    </w:p>
    <w:p w14:paraId="7952CCA3" w14:textId="77777777" w:rsidR="00A42110" w:rsidRDefault="00A42110" w:rsidP="0064211F">
      <w:pPr>
        <w:spacing w:afterLines="50" w:after="18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79226391" w:rsidR="00CF5F95" w:rsidRPr="00D10F19" w:rsidRDefault="00CF5F95" w:rsidP="00221CD9">
      <w:pPr>
        <w:spacing w:afterLines="100" w:after="360" w:line="460" w:lineRule="exact"/>
        <w:ind w:leftChars="118" w:left="283" w:rightChars="108" w:right="259"/>
        <w:jc w:val="both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臺南文化創意產業園區</w:t>
      </w:r>
      <w:r w:rsidR="0045595C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3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45595C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雙喜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</w:t>
      </w:r>
      <w:r w:rsidR="00A72835">
        <w:rPr>
          <w:rFonts w:ascii="微軟正黑體" w:eastAsia="微軟正黑體" w:hAnsi="微軟正黑體" w:hint="eastAsia"/>
          <w:bCs/>
          <w:color w:val="0000FF"/>
          <w:kern w:val="0"/>
          <w:sz w:val="28"/>
          <w:szCs w:val="28"/>
        </w:rPr>
        <w:t>北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0AA1FDB8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45595C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45595C">
              <w:rPr>
                <w:rFonts w:eastAsia="標楷體" w:hint="eastAsia"/>
                <w:b/>
                <w:bCs/>
                <w:sz w:val="32"/>
                <w:szCs w:val="32"/>
              </w:rPr>
              <w:t>9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45595C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A72835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A72835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A72835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A72835">
        <w:trPr>
          <w:trHeight w:val="4445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63FE2FDD" w14:textId="523BB210" w:rsidR="00A72835" w:rsidRPr="00A72835" w:rsidRDefault="0045595C" w:rsidP="00A72835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臺南市中西區市定古蹟「法華寺」公告資料更新審議案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（預計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13:30</w:t>
            </w:r>
            <w:r>
              <w:rPr>
                <w:rFonts w:asciiTheme="minorHAnsi" w:eastAsia="標楷體" w:hAnsiTheme="minorHAnsi" w:cstheme="minorHAnsi" w:hint="eastAsia"/>
              </w:rPr>
              <w:t>-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0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297F2FEA" w14:textId="256C30AB" w:rsidR="00A72835" w:rsidRPr="00A72835" w:rsidRDefault="0045595C" w:rsidP="000773DE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臺南市中西區市定古蹟「開基靈祐宮」公告資料更新審議案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（預計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-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14: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0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0F5DFCCD" w14:textId="3C69F7BC" w:rsidR="00A72835" w:rsidRPr="00A72835" w:rsidRDefault="0045595C" w:rsidP="000773DE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臺南市中西區市定古蹟「水仙宮」公告資料更新審議案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（預計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14: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-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4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:30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23B80151" w14:textId="01548572" w:rsidR="00A72835" w:rsidRPr="00A72835" w:rsidRDefault="0045595C" w:rsidP="000773DE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臺南市安平區市定古蹟「安平小砲臺」公告資料更新審議案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（預計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4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:30</w:t>
            </w:r>
            <w:r>
              <w:rPr>
                <w:rFonts w:asciiTheme="minorHAnsi" w:eastAsia="標楷體" w:hAnsiTheme="minorHAnsi" w:cstheme="minorHAnsi" w:hint="eastAsia"/>
              </w:rPr>
              <w:t>-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4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0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56C00FF2" w14:textId="0D101393" w:rsidR="0045595C" w:rsidRDefault="0045595C" w:rsidP="000773DE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臺南市麻豆區市定古蹟「麻豆大埕郭舉人宅」修復及再利用計畫審議案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（預計</w:t>
            </w:r>
            <w:r w:rsidRPr="000773DE">
              <w:rPr>
                <w:rFonts w:asciiTheme="minorHAnsi" w:eastAsia="標楷體" w:hAnsiTheme="minorHAnsi" w:cstheme="minorHAnsi" w:hint="eastAsia"/>
              </w:rPr>
              <w:t>15:05</w:t>
            </w:r>
            <w:r w:rsidRPr="000773DE">
              <w:rPr>
                <w:rFonts w:asciiTheme="minorHAnsi" w:eastAsia="標楷體" w:hAnsiTheme="minorHAnsi" w:cstheme="minorHAnsi" w:hint="eastAsia"/>
              </w:rPr>
              <w:t>-</w:t>
            </w:r>
            <w:r w:rsidRPr="000773DE">
              <w:rPr>
                <w:rFonts w:asciiTheme="minorHAnsi" w:eastAsia="標楷體" w:hAnsiTheme="minorHAnsi" w:cstheme="minorHAnsi" w:hint="eastAsia"/>
              </w:rPr>
              <w:t>15:35</w:t>
            </w:r>
            <w:r w:rsidR="00A72835" w:rsidRPr="00A72835">
              <w:rPr>
                <w:rFonts w:asciiTheme="minorHAnsi" w:eastAsia="標楷體" w:hAnsiTheme="minorHAnsi" w:cstheme="minorHAnsi" w:hint="eastAsia"/>
              </w:rPr>
              <w:t>）</w:t>
            </w:r>
          </w:p>
          <w:p w14:paraId="5E7456D1" w14:textId="609BD5C4" w:rsidR="0045595C" w:rsidRPr="0045595C" w:rsidRDefault="0045595C" w:rsidP="000773DE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 w:hint="eastAsia"/>
              </w:rPr>
            </w:pPr>
            <w:r w:rsidRPr="0045595C">
              <w:rPr>
                <w:rFonts w:asciiTheme="minorHAnsi" w:eastAsia="標楷體" w:hAnsiTheme="minorHAnsi" w:cstheme="minorHAnsi" w:hint="eastAsia"/>
              </w:rPr>
              <w:t>臺南市中西區「巨星管理顧問有限公司視聽歌唱場所、辦公室」新建工程涉《文化資產保存法》第</w:t>
            </w:r>
            <w:r w:rsidRPr="0045595C">
              <w:rPr>
                <w:rFonts w:asciiTheme="minorHAnsi" w:eastAsia="標楷體" w:hAnsiTheme="minorHAnsi" w:cstheme="minorHAnsi" w:hint="eastAsia"/>
              </w:rPr>
              <w:t>34</w:t>
            </w:r>
            <w:r w:rsidRPr="0045595C">
              <w:rPr>
                <w:rFonts w:asciiTheme="minorHAnsi" w:eastAsia="標楷體" w:hAnsiTheme="minorHAnsi" w:cstheme="minorHAnsi" w:hint="eastAsia"/>
              </w:rPr>
              <w:t>條規定審議案（預計</w:t>
            </w:r>
            <w:r w:rsidRPr="0045595C">
              <w:rPr>
                <w:rFonts w:asciiTheme="minorHAnsi" w:eastAsia="標楷體" w:hAnsiTheme="minorHAnsi" w:cstheme="minorHAnsi" w:hint="eastAsia"/>
              </w:rPr>
              <w:t>15:35</w:t>
            </w:r>
            <w:r>
              <w:rPr>
                <w:rFonts w:asciiTheme="minorHAnsi" w:eastAsia="標楷體" w:hAnsiTheme="minorHAnsi" w:cstheme="minorHAnsi" w:hint="eastAsia"/>
              </w:rPr>
              <w:t>-1</w:t>
            </w:r>
            <w:r w:rsidRPr="0045595C">
              <w:rPr>
                <w:rFonts w:asciiTheme="minorHAnsi" w:eastAsia="標楷體" w:hAnsiTheme="minorHAnsi" w:cstheme="minorHAnsi" w:hint="eastAsia"/>
              </w:rPr>
              <w:t>6:05</w:t>
            </w:r>
            <w:r w:rsidRPr="0045595C">
              <w:rPr>
                <w:rFonts w:asciiTheme="minorHAnsi" w:eastAsia="標楷體" w:hAnsiTheme="minorHAnsi" w:cstheme="minorHAnsi" w:hint="eastAsia"/>
              </w:rPr>
              <w:t>）</w:t>
            </w:r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42C7EAA7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905DB8" w:rsidRPr="00AB4110">
        <w:rPr>
          <w:rFonts w:ascii="Times New Roman" w:eastAsia="標楷體" w:hAnsi="Times New Roman"/>
        </w:rPr>
        <w:t>11</w:t>
      </w:r>
      <w:r w:rsidR="00A72835">
        <w:rPr>
          <w:rFonts w:ascii="Times New Roman" w:eastAsia="標楷體" w:hAnsi="Times New Roman" w:hint="eastAsia"/>
        </w:rPr>
        <w:t>4</w:t>
      </w:r>
      <w:r w:rsidR="00905DB8" w:rsidRPr="00AB4110">
        <w:rPr>
          <w:rFonts w:ascii="Times New Roman" w:eastAsia="標楷體" w:hAnsi="Times New Roman"/>
        </w:rPr>
        <w:t>年</w:t>
      </w:r>
      <w:r w:rsidR="0045595C">
        <w:rPr>
          <w:rFonts w:ascii="Times New Roman" w:eastAsia="標楷體" w:hAnsi="Times New Roman" w:hint="eastAsia"/>
        </w:rPr>
        <w:t>9</w:t>
      </w:r>
      <w:r w:rsidR="00905DB8" w:rsidRPr="00AB4110">
        <w:rPr>
          <w:rFonts w:ascii="Times New Roman" w:eastAsia="標楷體" w:hAnsi="Times New Roman"/>
        </w:rPr>
        <w:t>月</w:t>
      </w:r>
      <w:r w:rsidR="0045595C">
        <w:rPr>
          <w:rFonts w:ascii="Times New Roman" w:eastAsia="標楷體" w:hAnsi="Times New Roman" w:hint="eastAsia"/>
        </w:rPr>
        <w:t>1</w:t>
      </w:r>
      <w:r w:rsidR="00A72835">
        <w:rPr>
          <w:rFonts w:ascii="Times New Roman" w:eastAsia="標楷體" w:hAnsi="Times New Roman" w:hint="eastAsia"/>
        </w:rPr>
        <w:t>1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A72835">
        <w:rPr>
          <w:rFonts w:ascii="Times New Roman" w:eastAsia="標楷體" w:hAnsi="Times New Roman" w:hint="eastAsia"/>
        </w:rPr>
        <w:t>kuan707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</w:t>
      </w:r>
      <w:r w:rsidR="0045595C">
        <w:rPr>
          <w:rFonts w:ascii="Times New Roman" w:eastAsia="標楷體" w:hAnsi="Times New Roman" w:hint="eastAsia"/>
        </w:rPr>
        <w:t>4</w:t>
      </w:r>
      <w:r w:rsidR="00905DB8" w:rsidRPr="00AB4110">
        <w:rPr>
          <w:rFonts w:ascii="Times New Roman" w:eastAsia="標楷體" w:hAnsi="Times New Roman"/>
        </w:rPr>
        <w:t>年</w:t>
      </w:r>
      <w:r w:rsidR="0045595C">
        <w:rPr>
          <w:rFonts w:ascii="Times New Roman" w:eastAsia="標楷體" w:hAnsi="Times New Roman" w:hint="eastAsia"/>
        </w:rPr>
        <w:t>9</w:t>
      </w:r>
      <w:r w:rsidR="00905DB8" w:rsidRPr="00AB4110">
        <w:rPr>
          <w:rFonts w:ascii="Times New Roman" w:eastAsia="標楷體" w:hAnsi="Times New Roman"/>
        </w:rPr>
        <w:t>月</w:t>
      </w:r>
      <w:r w:rsidR="0045595C">
        <w:rPr>
          <w:rFonts w:ascii="Times New Roman" w:eastAsia="標楷體" w:hAnsi="Times New Roman" w:hint="eastAsia"/>
        </w:rPr>
        <w:t>1</w:t>
      </w:r>
      <w:r w:rsidR="00A72835">
        <w:rPr>
          <w:rFonts w:ascii="Times New Roman" w:eastAsia="標楷體" w:hAnsi="Times New Roman" w:hint="eastAsia"/>
        </w:rPr>
        <w:t>2</w:t>
      </w:r>
      <w:r w:rsidR="00905DB8" w:rsidRPr="00AB4110">
        <w:rPr>
          <w:rFonts w:ascii="Times New Roman" w:eastAsia="標楷體" w:hAnsi="Times New Roman"/>
        </w:rPr>
        <w:t>日</w:t>
      </w:r>
      <w:r w:rsidR="001F4AD5" w:rsidRPr="00AB4110">
        <w:rPr>
          <w:rFonts w:ascii="Times New Roman" w:eastAsia="標楷體" w:hAnsi="Times New Roman"/>
        </w:rPr>
        <w:t>中午</w:t>
      </w:r>
      <w:r w:rsidR="001F4AD5" w:rsidRPr="00AB4110">
        <w:rPr>
          <w:rFonts w:ascii="Times New Roman" w:eastAsia="標楷體" w:hAnsi="Times New Roman"/>
        </w:rPr>
        <w:t>12</w:t>
      </w:r>
      <w:r w:rsidR="001F4AD5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前公告於臺南市文化資產管理處官網，不另通知。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43D89B0D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若有相關問題請洽臺南市文化資產管理處</w:t>
      </w:r>
      <w:r w:rsidR="004360FB" w:rsidRPr="00AB4110">
        <w:rPr>
          <w:rFonts w:ascii="Times New Roman" w:eastAsia="標楷體" w:hAnsi="Times New Roman"/>
        </w:rPr>
        <w:t xml:space="preserve"> 06-22135</w:t>
      </w:r>
      <w:r w:rsidR="0079071A">
        <w:rPr>
          <w:rFonts w:ascii="Times New Roman" w:eastAsia="標楷體" w:hAnsi="Times New Roman"/>
        </w:rPr>
        <w:t>69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A72835">
        <w:rPr>
          <w:rFonts w:ascii="Times New Roman" w:eastAsia="標楷體" w:hAnsi="Times New Roman" w:hint="eastAsia"/>
        </w:rPr>
        <w:t>609</w:t>
      </w:r>
      <w:r w:rsidR="00AB4110">
        <w:rPr>
          <w:rFonts w:ascii="Times New Roman" w:eastAsia="標楷體" w:hAnsi="Times New Roman" w:hint="eastAsia"/>
        </w:rPr>
        <w:t xml:space="preserve"> </w:t>
      </w:r>
      <w:r w:rsidR="00A72835">
        <w:rPr>
          <w:rFonts w:ascii="Times New Roman" w:eastAsia="標楷體" w:hAnsi="Times New Roman" w:hint="eastAsia"/>
        </w:rPr>
        <w:t>官小姐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臺南市政府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本府得依申請人意見之代表性及申請送達之時間順序，准許其旁聽。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遴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本會議進行委員決議時，旁聽人員均應離開會場。但經全體出席委員同意者，不在此限。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E3AA" w14:textId="77777777" w:rsidR="003D52F1" w:rsidRDefault="003D52F1" w:rsidP="000D5AC0">
      <w:r>
        <w:separator/>
      </w:r>
    </w:p>
  </w:endnote>
  <w:endnote w:type="continuationSeparator" w:id="0">
    <w:p w14:paraId="460333EF" w14:textId="77777777" w:rsidR="003D52F1" w:rsidRDefault="003D52F1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65302"/>
      <w:docPartObj>
        <w:docPartGallery w:val="Page Numbers (Bottom of Page)"/>
        <w:docPartUnique/>
      </w:docPartObj>
    </w:sdtPr>
    <w:sdtEndPr/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87F3" w14:textId="77777777" w:rsidR="003D52F1" w:rsidRDefault="003D52F1" w:rsidP="000D5AC0">
      <w:r>
        <w:separator/>
      </w:r>
    </w:p>
  </w:footnote>
  <w:footnote w:type="continuationSeparator" w:id="0">
    <w:p w14:paraId="59FFCEA2" w14:textId="77777777" w:rsidR="003D52F1" w:rsidRDefault="003D52F1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EFC"/>
    <w:multiLevelType w:val="hybridMultilevel"/>
    <w:tmpl w:val="ED043BD8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4FB0F86"/>
    <w:multiLevelType w:val="hybridMultilevel"/>
    <w:tmpl w:val="9DF65148"/>
    <w:lvl w:ilvl="0" w:tplc="1C0EA724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5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6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420317"/>
    <w:multiLevelType w:val="hybridMultilevel"/>
    <w:tmpl w:val="8296490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D7F93"/>
    <w:multiLevelType w:val="hybridMultilevel"/>
    <w:tmpl w:val="B9FC9CC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A3D407C"/>
    <w:multiLevelType w:val="hybridMultilevel"/>
    <w:tmpl w:val="38E6561E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0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E1267CF"/>
    <w:multiLevelType w:val="hybridMultilevel"/>
    <w:tmpl w:val="7AEC5330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47730611">
    <w:abstractNumId w:val="2"/>
  </w:num>
  <w:num w:numId="2" w16cid:durableId="1065908502">
    <w:abstractNumId w:val="5"/>
  </w:num>
  <w:num w:numId="3" w16cid:durableId="1987203291">
    <w:abstractNumId w:val="5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897201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7654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0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232125">
    <w:abstractNumId w:val="11"/>
  </w:num>
  <w:num w:numId="8" w16cid:durableId="21976939">
    <w:abstractNumId w:val="14"/>
  </w:num>
  <w:num w:numId="9" w16cid:durableId="1912353356">
    <w:abstractNumId w:val="12"/>
  </w:num>
  <w:num w:numId="10" w16cid:durableId="1576548976">
    <w:abstractNumId w:val="10"/>
  </w:num>
  <w:num w:numId="11" w16cid:durableId="1812095308">
    <w:abstractNumId w:val="6"/>
  </w:num>
  <w:num w:numId="12" w16cid:durableId="1147697912">
    <w:abstractNumId w:val="3"/>
  </w:num>
  <w:num w:numId="13" w16cid:durableId="1727871747">
    <w:abstractNumId w:val="4"/>
  </w:num>
  <w:num w:numId="14" w16cid:durableId="346564688">
    <w:abstractNumId w:val="8"/>
  </w:num>
  <w:num w:numId="15" w16cid:durableId="1688678042">
    <w:abstractNumId w:val="1"/>
  </w:num>
  <w:num w:numId="16" w16cid:durableId="310715540">
    <w:abstractNumId w:val="0"/>
  </w:num>
  <w:num w:numId="17" w16cid:durableId="826751818">
    <w:abstractNumId w:val="9"/>
  </w:num>
  <w:num w:numId="18" w16cid:durableId="640429520">
    <w:abstractNumId w:val="7"/>
  </w:num>
  <w:num w:numId="19" w16cid:durableId="1328902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773DE"/>
    <w:rsid w:val="0008678F"/>
    <w:rsid w:val="000962D6"/>
    <w:rsid w:val="000B0846"/>
    <w:rsid w:val="000C54E0"/>
    <w:rsid w:val="000D5AC0"/>
    <w:rsid w:val="000E22F2"/>
    <w:rsid w:val="000F01D1"/>
    <w:rsid w:val="0012777C"/>
    <w:rsid w:val="001C49CE"/>
    <w:rsid w:val="001D2CBA"/>
    <w:rsid w:val="001F4AD5"/>
    <w:rsid w:val="00221CD9"/>
    <w:rsid w:val="00224D47"/>
    <w:rsid w:val="00245B57"/>
    <w:rsid w:val="00261D71"/>
    <w:rsid w:val="002C2094"/>
    <w:rsid w:val="00305167"/>
    <w:rsid w:val="003070E9"/>
    <w:rsid w:val="003265A7"/>
    <w:rsid w:val="00346785"/>
    <w:rsid w:val="003647F5"/>
    <w:rsid w:val="00364AE3"/>
    <w:rsid w:val="003A079D"/>
    <w:rsid w:val="003D52F1"/>
    <w:rsid w:val="003D64F4"/>
    <w:rsid w:val="003E27A7"/>
    <w:rsid w:val="003F5314"/>
    <w:rsid w:val="00427F4E"/>
    <w:rsid w:val="004360FB"/>
    <w:rsid w:val="00453B10"/>
    <w:rsid w:val="0045595C"/>
    <w:rsid w:val="00476989"/>
    <w:rsid w:val="0048206E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9071A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9043E"/>
    <w:rsid w:val="009D2F1B"/>
    <w:rsid w:val="00A10854"/>
    <w:rsid w:val="00A32D4F"/>
    <w:rsid w:val="00A42110"/>
    <w:rsid w:val="00A56EBD"/>
    <w:rsid w:val="00A72835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0B27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B0014"/>
    <w:rsid w:val="00DE69F3"/>
    <w:rsid w:val="00E02E31"/>
    <w:rsid w:val="00E06E03"/>
    <w:rsid w:val="00E55288"/>
    <w:rsid w:val="00E925B7"/>
    <w:rsid w:val="00EC02D3"/>
    <w:rsid w:val="00EC61FC"/>
    <w:rsid w:val="00EE531B"/>
    <w:rsid w:val="00EE6D62"/>
    <w:rsid w:val="00F04F81"/>
    <w:rsid w:val="00F125B3"/>
    <w:rsid w:val="00F22AA0"/>
    <w:rsid w:val="00F4248E"/>
    <w:rsid w:val="00F63AA1"/>
    <w:rsid w:val="00FC1472"/>
    <w:rsid w:val="00FD50DE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1546</Words>
  <Characters>112</Characters>
  <Application>Microsoft Office Word</Application>
  <DocSecurity>0</DocSecurity>
  <Lines>4</Lines>
  <Paragraphs>29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15</cp:lastModifiedBy>
  <cp:revision>7</cp:revision>
  <cp:lastPrinted>2018-03-16T00:32:00Z</cp:lastPrinted>
  <dcterms:created xsi:type="dcterms:W3CDTF">2024-11-29T00:40:00Z</dcterms:created>
  <dcterms:modified xsi:type="dcterms:W3CDTF">2025-09-06T03:14:00Z</dcterms:modified>
</cp:coreProperties>
</file>